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717A" w14:textId="77777777" w:rsidR="00D84633" w:rsidRPr="00EB2A04" w:rsidRDefault="00D84633" w:rsidP="008751AD">
      <w:pPr>
        <w:jc w:val="center"/>
        <w:rPr>
          <w:b/>
          <w:bCs/>
          <w:sz w:val="28"/>
          <w:szCs w:val="28"/>
        </w:rPr>
      </w:pPr>
    </w:p>
    <w:p w14:paraId="537FF6B3" w14:textId="3DA4FF06" w:rsidR="008751AD" w:rsidRPr="00EB2A04" w:rsidRDefault="008751AD" w:rsidP="008751AD">
      <w:pPr>
        <w:jc w:val="center"/>
        <w:rPr>
          <w:b/>
          <w:bCs/>
          <w:sz w:val="28"/>
          <w:szCs w:val="28"/>
        </w:rPr>
      </w:pPr>
      <w:r w:rsidRPr="00EB2A04">
        <w:rPr>
          <w:b/>
          <w:bCs/>
          <w:sz w:val="28"/>
          <w:szCs w:val="28"/>
        </w:rPr>
        <w:t>ΔΕΛΤΙΟ ΤΥΠΟΥ</w:t>
      </w:r>
    </w:p>
    <w:p w14:paraId="6F74C9F6" w14:textId="57A02D11" w:rsidR="008751AD" w:rsidRPr="00EB2A04" w:rsidRDefault="008751AD" w:rsidP="008751AD">
      <w:pPr>
        <w:jc w:val="center"/>
        <w:rPr>
          <w:b/>
          <w:bCs/>
          <w:sz w:val="28"/>
          <w:szCs w:val="28"/>
        </w:rPr>
      </w:pPr>
      <w:r w:rsidRPr="00EB2A04">
        <w:rPr>
          <w:b/>
          <w:bCs/>
          <w:sz w:val="28"/>
          <w:szCs w:val="28"/>
        </w:rPr>
        <w:t xml:space="preserve">Η </w:t>
      </w:r>
      <w:proofErr w:type="spellStart"/>
      <w:r w:rsidR="000D65B5" w:rsidRPr="00EB2A04">
        <w:rPr>
          <w:rFonts w:cstheme="minorHAnsi"/>
          <w:b/>
          <w:bCs/>
          <w:sz w:val="28"/>
          <w:szCs w:val="28"/>
        </w:rPr>
        <w:t>ElvalHalcor</w:t>
      </w:r>
      <w:proofErr w:type="spellEnd"/>
      <w:r w:rsidR="000D65B5" w:rsidRPr="00EB2A04">
        <w:rPr>
          <w:b/>
          <w:bCs/>
          <w:sz w:val="28"/>
          <w:szCs w:val="28"/>
        </w:rPr>
        <w:t xml:space="preserve"> και η </w:t>
      </w:r>
      <w:r w:rsidRPr="00EB2A04">
        <w:rPr>
          <w:b/>
          <w:bCs/>
          <w:sz w:val="28"/>
          <w:szCs w:val="28"/>
        </w:rPr>
        <w:t xml:space="preserve">Cenergy Holdings  στηρίζουν το πρόγραμμα «Ζήσε την Επιστήμη» του Ιδρύματος </w:t>
      </w:r>
      <w:proofErr w:type="spellStart"/>
      <w:r w:rsidRPr="00EB2A04">
        <w:rPr>
          <w:b/>
          <w:bCs/>
          <w:sz w:val="28"/>
          <w:szCs w:val="28"/>
        </w:rPr>
        <w:t>Μποδοσάκη</w:t>
      </w:r>
      <w:proofErr w:type="spellEnd"/>
    </w:p>
    <w:p w14:paraId="15868864" w14:textId="0AC46C8C" w:rsidR="008751AD" w:rsidRPr="00EB2A04" w:rsidRDefault="000D65B5" w:rsidP="00EB2A04">
      <w:pPr>
        <w:rPr>
          <w:b/>
          <w:bCs/>
        </w:rPr>
      </w:pPr>
      <w:r w:rsidRPr="00EB2A04">
        <w:rPr>
          <w:b/>
          <w:bCs/>
          <w:i/>
          <w:iCs/>
        </w:rPr>
        <w:t xml:space="preserve">17 δημόσια γυμνάσια </w:t>
      </w:r>
      <w:r w:rsidR="008563AB" w:rsidRPr="00EB2A04">
        <w:rPr>
          <w:b/>
          <w:bCs/>
          <w:i/>
          <w:iCs/>
        </w:rPr>
        <w:t>ε</w:t>
      </w:r>
      <w:r w:rsidR="00361AF2" w:rsidRPr="00EB2A04">
        <w:rPr>
          <w:b/>
          <w:bCs/>
          <w:i/>
          <w:iCs/>
        </w:rPr>
        <w:t xml:space="preserve">ξοπλίστηκαν </w:t>
      </w:r>
      <w:r w:rsidR="001C50CC" w:rsidRPr="00EB2A04">
        <w:rPr>
          <w:b/>
          <w:bCs/>
          <w:i/>
          <w:iCs/>
        </w:rPr>
        <w:t xml:space="preserve">με </w:t>
      </w:r>
      <w:r w:rsidR="00F8560C" w:rsidRPr="00EB2A04">
        <w:rPr>
          <w:b/>
          <w:bCs/>
          <w:i/>
          <w:iCs/>
        </w:rPr>
        <w:t xml:space="preserve">εργαστήρια </w:t>
      </w:r>
      <w:r w:rsidR="008563AB" w:rsidRPr="00EB2A04">
        <w:rPr>
          <w:b/>
          <w:bCs/>
          <w:i/>
          <w:iCs/>
        </w:rPr>
        <w:t>φυσικών επιστημών</w:t>
      </w:r>
      <w:r w:rsidRPr="00EB2A04">
        <w:rPr>
          <w:b/>
          <w:bCs/>
          <w:i/>
          <w:iCs/>
        </w:rPr>
        <w:t xml:space="preserve"> και</w:t>
      </w:r>
      <w:r w:rsidR="008751AD" w:rsidRPr="00EB2A04">
        <w:rPr>
          <w:b/>
          <w:bCs/>
          <w:i/>
          <w:iCs/>
        </w:rPr>
        <w:t xml:space="preserve"> </w:t>
      </w:r>
      <w:r w:rsidR="008751AD" w:rsidRPr="00EB2A04">
        <w:rPr>
          <w:b/>
          <w:bCs/>
        </w:rPr>
        <w:t>ωφελήθηκαν περισσότεροι από 3.260 μαθητές</w:t>
      </w:r>
      <w:r w:rsidR="00F8560C" w:rsidRPr="00EB2A04">
        <w:rPr>
          <w:b/>
          <w:bCs/>
        </w:rPr>
        <w:t xml:space="preserve"> μέχρι σήμερα</w:t>
      </w:r>
    </w:p>
    <w:p w14:paraId="4E131DC7" w14:textId="0142B0D6" w:rsidR="008751AD" w:rsidRPr="00EB2A04" w:rsidRDefault="00EB2A04" w:rsidP="00EB2A04">
      <w:pPr>
        <w:jc w:val="right"/>
      </w:pPr>
      <w:r w:rsidRPr="00EB2A04">
        <w:t>Τετάρτη 10 Ιουνίου 2026</w:t>
      </w:r>
    </w:p>
    <w:p w14:paraId="4439A91B" w14:textId="016F5ECF" w:rsidR="008751AD" w:rsidRPr="00EB2A04" w:rsidRDefault="008751AD" w:rsidP="008751AD">
      <w:pPr>
        <w:jc w:val="both"/>
      </w:pPr>
      <w:r w:rsidRPr="00EB2A04">
        <w:t xml:space="preserve">Η </w:t>
      </w:r>
      <w:proofErr w:type="spellStart"/>
      <w:r w:rsidR="008563AB" w:rsidRPr="00EB2A04">
        <w:rPr>
          <w:rFonts w:cstheme="minorHAnsi"/>
          <w:b/>
          <w:bCs/>
        </w:rPr>
        <w:t>ElvalHalcor</w:t>
      </w:r>
      <w:proofErr w:type="spellEnd"/>
      <w:r w:rsidR="008563AB" w:rsidRPr="00EB2A04">
        <w:rPr>
          <w:b/>
          <w:bCs/>
        </w:rPr>
        <w:t xml:space="preserve"> </w:t>
      </w:r>
      <w:r w:rsidR="008563AB" w:rsidRPr="00EB2A04">
        <w:t>και η</w:t>
      </w:r>
      <w:r w:rsidR="008563AB" w:rsidRPr="00EB2A04">
        <w:rPr>
          <w:b/>
          <w:bCs/>
        </w:rPr>
        <w:t xml:space="preserve"> </w:t>
      </w:r>
      <w:r w:rsidRPr="00EB2A04">
        <w:rPr>
          <w:b/>
          <w:bCs/>
        </w:rPr>
        <w:t>Cenergy Holdings</w:t>
      </w:r>
      <w:r w:rsidRPr="00EB2A04">
        <w:t xml:space="preserve"> υποστήριξαν κατά την περίοδο 2025-2026 το πρόγραμμα </w:t>
      </w:r>
      <w:r w:rsidRPr="00EB2A04">
        <w:rPr>
          <w:b/>
          <w:bCs/>
        </w:rPr>
        <w:t xml:space="preserve">«Ζήσε την Επιστήμη» του </w:t>
      </w:r>
      <w:r w:rsidR="00AA32E9" w:rsidRPr="00EB2A04">
        <w:rPr>
          <w:b/>
          <w:bCs/>
        </w:rPr>
        <w:t>Ι</w:t>
      </w:r>
      <w:r w:rsidRPr="00EB2A04">
        <w:rPr>
          <w:b/>
          <w:bCs/>
        </w:rPr>
        <w:t>δρ</w:t>
      </w:r>
      <w:r w:rsidR="00AA32E9" w:rsidRPr="00EB2A04">
        <w:rPr>
          <w:b/>
          <w:bCs/>
        </w:rPr>
        <w:t>ύματος</w:t>
      </w:r>
      <w:r w:rsidRPr="00EB2A04">
        <w:rPr>
          <w:b/>
          <w:bCs/>
        </w:rPr>
        <w:t xml:space="preserve"> </w:t>
      </w:r>
      <w:proofErr w:type="spellStart"/>
      <w:r w:rsidRPr="00EB2A04">
        <w:rPr>
          <w:b/>
          <w:bCs/>
        </w:rPr>
        <w:t>Μποδοσάκη</w:t>
      </w:r>
      <w:proofErr w:type="spellEnd"/>
      <w:r w:rsidRPr="00EB2A04">
        <w:t xml:space="preserve">, συμβάλλοντας ουσιαστικά στην </w:t>
      </w:r>
      <w:r w:rsidR="000803AD" w:rsidRPr="00EB2A04">
        <w:t xml:space="preserve">αναβάθμιση </w:t>
      </w:r>
      <w:r w:rsidRPr="00EB2A04">
        <w:t xml:space="preserve"> της εργαστηριακής</w:t>
      </w:r>
      <w:r w:rsidR="00911DBF" w:rsidRPr="00EB2A04">
        <w:t xml:space="preserve"> διδασκαλίας των</w:t>
      </w:r>
      <w:r w:rsidRPr="00EB2A04">
        <w:t xml:space="preserve"> </w:t>
      </w:r>
      <w:r w:rsidR="008563AB" w:rsidRPr="00EB2A04">
        <w:t xml:space="preserve">φυσικών επιστημών </w:t>
      </w:r>
      <w:r w:rsidRPr="00EB2A04">
        <w:t xml:space="preserve"> στα δημόσια γυμνάσια της χώρας και την </w:t>
      </w:r>
      <w:r w:rsidR="002A2E24" w:rsidRPr="00EB2A04">
        <w:t xml:space="preserve">ανάπτυξη </w:t>
      </w:r>
      <w:r w:rsidR="005526EA" w:rsidRPr="00EB2A04">
        <w:t xml:space="preserve">σχετικών </w:t>
      </w:r>
      <w:r w:rsidRPr="00EB2A04">
        <w:t xml:space="preserve"> δεξιοτήτων στους μαθητές.</w:t>
      </w:r>
    </w:p>
    <w:p w14:paraId="740AC10B" w14:textId="6F8BE2E9" w:rsidR="00C27564" w:rsidRPr="00EB2A04" w:rsidRDefault="00C27564" w:rsidP="00C27564">
      <w:pPr>
        <w:jc w:val="both"/>
      </w:pPr>
      <w:r w:rsidRPr="00EB2A04">
        <w:t xml:space="preserve">Το πρόγραμμα «Ζήσε την Επιστήμη» αποτελεί πρωτοβουλία του Ιδρύματος </w:t>
      </w:r>
      <w:proofErr w:type="spellStart"/>
      <w:r w:rsidRPr="00EB2A04">
        <w:t>Μποδοσάκη</w:t>
      </w:r>
      <w:proofErr w:type="spellEnd"/>
      <w:r w:rsidRPr="00EB2A04">
        <w:t xml:space="preserve"> και στοχεύει στην </w:t>
      </w:r>
      <w:r w:rsidR="00911DBF" w:rsidRPr="00EB2A04">
        <w:t xml:space="preserve">ενίσχυση και αναβάθμιση του </w:t>
      </w:r>
      <w:r w:rsidRPr="00EB2A04">
        <w:t xml:space="preserve"> απαραίτητου και σύγχρονου εργαστηριακού εξοπλισμού για τη διδασκαλία  των μαθημάτων  Φυσικής, Χημείας και Βιολογίας. Το πρόγραμμα υλοποιείται σε συνεργασία με την Πανελλήνια Ένωση Υπευθύνων Εργαστηριακών Κέντρων Φυσικών Επιστημών (ΠΑΝ.Ε.Κ.Φ.Ε.).</w:t>
      </w:r>
    </w:p>
    <w:p w14:paraId="20621152" w14:textId="7DBC5FA1" w:rsidR="00911DBF" w:rsidRPr="00EB2A04" w:rsidRDefault="00C27564" w:rsidP="00911DBF">
      <w:pPr>
        <w:pStyle w:val="pf0"/>
        <w:rPr>
          <w:rFonts w:asciiTheme="minorHAnsi" w:hAnsiTheme="minorHAnsi" w:cs="Arial"/>
          <w:sz w:val="20"/>
          <w:szCs w:val="20"/>
        </w:rPr>
      </w:pPr>
      <w:r w:rsidRPr="00EB2A04">
        <w:rPr>
          <w:rFonts w:asciiTheme="minorHAnsi" w:hAnsiTheme="minorHAnsi"/>
        </w:rPr>
        <w:t xml:space="preserve">Με τη στήριξη της </w:t>
      </w:r>
      <w:proofErr w:type="spellStart"/>
      <w:r w:rsidRPr="00EB2A04">
        <w:rPr>
          <w:rFonts w:asciiTheme="minorHAnsi" w:hAnsiTheme="minorHAnsi" w:cstheme="minorHAnsi"/>
        </w:rPr>
        <w:t>ElvalHalcor</w:t>
      </w:r>
      <w:proofErr w:type="spellEnd"/>
      <w:r w:rsidRPr="00EB2A04">
        <w:rPr>
          <w:rFonts w:asciiTheme="minorHAnsi" w:hAnsiTheme="minorHAnsi" w:cstheme="minorHAnsi"/>
        </w:rPr>
        <w:t xml:space="preserve"> και της </w:t>
      </w:r>
      <w:r w:rsidRPr="00EB2A04">
        <w:rPr>
          <w:rFonts w:asciiTheme="minorHAnsi" w:hAnsiTheme="minorHAnsi"/>
        </w:rPr>
        <w:t xml:space="preserve">Cenergy Holdings και σε συνεργασία με το Ίδρυμα </w:t>
      </w:r>
      <w:proofErr w:type="spellStart"/>
      <w:r w:rsidRPr="00EB2A04">
        <w:rPr>
          <w:rFonts w:asciiTheme="minorHAnsi" w:hAnsiTheme="minorHAnsi"/>
        </w:rPr>
        <w:t>Μποδοσάκη</w:t>
      </w:r>
      <w:proofErr w:type="spellEnd"/>
      <w:r w:rsidRPr="00EB2A04">
        <w:rPr>
          <w:rFonts w:asciiTheme="minorHAnsi" w:hAnsiTheme="minorHAnsi"/>
        </w:rPr>
        <w:t>, εξοπλίστηκαν τα εργαστήρια φυσικών επιστημών σε 17 δημόσια γυμνάσια</w:t>
      </w:r>
      <w:r w:rsidR="00911DBF" w:rsidRPr="00EB2A04">
        <w:rPr>
          <w:rFonts w:asciiTheme="minorHAnsi" w:hAnsiTheme="minorHAnsi"/>
        </w:rPr>
        <w:t xml:space="preserve"> </w:t>
      </w:r>
      <w:r w:rsidR="00911DBF" w:rsidRPr="00EB2A04">
        <w:rPr>
          <w:rStyle w:val="cf01"/>
          <w:rFonts w:asciiTheme="minorHAnsi" w:hAnsiTheme="minorHAnsi" w:cs="Times New Roman"/>
          <w:sz w:val="24"/>
          <w:szCs w:val="24"/>
        </w:rPr>
        <w:t>στις περιοχές της Βοιωτίας, της Εύβοιας και των Ιωαννίνων</w:t>
      </w:r>
    </w:p>
    <w:p w14:paraId="5B9CA8AC" w14:textId="0E4F5985" w:rsidR="00C27564" w:rsidRPr="00EB2A04" w:rsidRDefault="00C27564" w:rsidP="00C27564">
      <w:pPr>
        <w:jc w:val="both"/>
      </w:pPr>
      <w:r w:rsidRPr="00EB2A04">
        <w:t xml:space="preserve"> το σχολικό έτος 2025-2026, ωφελώντας περισσότερους από 3.260 μαθητές.</w:t>
      </w:r>
    </w:p>
    <w:p w14:paraId="23FFBB0F" w14:textId="77777777" w:rsidR="00C27564" w:rsidRPr="00EB2A04" w:rsidRDefault="00C27564" w:rsidP="00C27564">
      <w:pPr>
        <w:jc w:val="both"/>
      </w:pPr>
      <w:r w:rsidRPr="00EB2A04">
        <w:t xml:space="preserve">Οι ωφελούμενες σχολικές μονάδες βρίσκονται σε περιοχές όπου δραστηριοποιούνται οι εταιρίες της </w:t>
      </w:r>
      <w:r w:rsidRPr="00EB2A04">
        <w:rPr>
          <w:lang w:val="en-US"/>
        </w:rPr>
        <w:t>Cenergy</w:t>
      </w:r>
      <w:r w:rsidRPr="00EB2A04">
        <w:t xml:space="preserve"> </w:t>
      </w:r>
      <w:r w:rsidRPr="00EB2A04">
        <w:rPr>
          <w:lang w:val="en-US"/>
        </w:rPr>
        <w:t>Holdings</w:t>
      </w:r>
      <w:r w:rsidRPr="00EB2A04">
        <w:t xml:space="preserve"> και της </w:t>
      </w:r>
      <w:proofErr w:type="spellStart"/>
      <w:r w:rsidRPr="00EB2A04">
        <w:rPr>
          <w:lang w:val="en-US"/>
        </w:rPr>
        <w:t>ElvalHalcor</w:t>
      </w:r>
      <w:proofErr w:type="spellEnd"/>
      <w:r w:rsidRPr="00EB2A04">
        <w:t xml:space="preserve">, όπως η Θήβα, η Λιβαδειά, η Αλίαρτος, οι </w:t>
      </w:r>
      <w:proofErr w:type="spellStart"/>
      <w:r w:rsidRPr="00EB2A04">
        <w:t>Θεσπιές</w:t>
      </w:r>
      <w:proofErr w:type="spellEnd"/>
      <w:r w:rsidRPr="00EB2A04">
        <w:t xml:space="preserve">, η  </w:t>
      </w:r>
      <w:proofErr w:type="spellStart"/>
      <w:r w:rsidRPr="00EB2A04">
        <w:t>Δομβραίνα</w:t>
      </w:r>
      <w:proofErr w:type="spellEnd"/>
      <w:r w:rsidRPr="00EB2A04">
        <w:t xml:space="preserve">, η Χαλκίδα, τα </w:t>
      </w:r>
      <w:proofErr w:type="spellStart"/>
      <w:r w:rsidRPr="00EB2A04">
        <w:t>Οινόφυτα</w:t>
      </w:r>
      <w:proofErr w:type="spellEnd"/>
      <w:r w:rsidRPr="00EB2A04">
        <w:t xml:space="preserve">, το </w:t>
      </w:r>
      <w:proofErr w:type="spellStart"/>
      <w:r w:rsidRPr="00EB2A04">
        <w:t>Σχηματάρι</w:t>
      </w:r>
      <w:proofErr w:type="spellEnd"/>
      <w:r w:rsidRPr="00EB2A04">
        <w:t xml:space="preserve">, ο Αυλώνας και τα </w:t>
      </w:r>
      <w:proofErr w:type="spellStart"/>
      <w:r w:rsidRPr="00EB2A04">
        <w:t>Δολιανά</w:t>
      </w:r>
      <w:proofErr w:type="spellEnd"/>
      <w:r w:rsidRPr="00EB2A04">
        <w:t xml:space="preserve"> Ιωαννίνων. </w:t>
      </w:r>
    </w:p>
    <w:p w14:paraId="24B7E97F" w14:textId="77777777" w:rsidR="00C27564" w:rsidRPr="00EB2A04" w:rsidRDefault="00C27564" w:rsidP="00C27564">
      <w:pPr>
        <w:jc w:val="both"/>
      </w:pPr>
      <w:r w:rsidRPr="00EB2A04">
        <w:t xml:space="preserve">Στο πλαίσιο του προγράμματος παρέχονται: </w:t>
      </w:r>
    </w:p>
    <w:p w14:paraId="3E8565B5" w14:textId="6415DDA9" w:rsidR="00C27564" w:rsidRPr="00EB2A04" w:rsidRDefault="00C27564" w:rsidP="00C27564">
      <w:pPr>
        <w:spacing w:after="0"/>
        <w:jc w:val="both"/>
      </w:pPr>
      <w:r w:rsidRPr="00EB2A04">
        <w:t xml:space="preserve"> •</w:t>
      </w:r>
      <w:r w:rsidRPr="00EB2A04">
        <w:tab/>
        <w:t xml:space="preserve">Εκτενής εργαστηριακός εξοπλισμός, οργανωμένος σε </w:t>
      </w:r>
      <w:proofErr w:type="spellStart"/>
      <w:r w:rsidR="00060B4F" w:rsidRPr="00EB2A04">
        <w:t>κιτ</w:t>
      </w:r>
      <w:proofErr w:type="spellEnd"/>
      <w:r w:rsidRPr="00EB2A04">
        <w:t xml:space="preserve"> Φυσικής, Χημείας, Βιολογίας και </w:t>
      </w:r>
      <w:proofErr w:type="spellStart"/>
      <w:r w:rsidR="00060B4F" w:rsidRPr="00EB2A04">
        <w:t>κιτ</w:t>
      </w:r>
      <w:proofErr w:type="spellEnd"/>
      <w:r w:rsidR="00060B4F" w:rsidRPr="00EB2A04">
        <w:t xml:space="preserve"> </w:t>
      </w:r>
      <w:r w:rsidRPr="00EB2A04">
        <w:t>εκπαιδευτικού</w:t>
      </w:r>
    </w:p>
    <w:p w14:paraId="1E9BAFEA" w14:textId="77777777" w:rsidR="00C27564" w:rsidRPr="00EB2A04" w:rsidRDefault="00C27564" w:rsidP="00C27564">
      <w:pPr>
        <w:spacing w:after="0"/>
        <w:jc w:val="both"/>
      </w:pPr>
      <w:r w:rsidRPr="00EB2A04">
        <w:t>•</w:t>
      </w:r>
      <w:r w:rsidRPr="00EB2A04">
        <w:tab/>
        <w:t>Σύγχρονος εξοπλισμός υποδομής, φύλαξης και προβολής</w:t>
      </w:r>
    </w:p>
    <w:p w14:paraId="55B871B5" w14:textId="77777777" w:rsidR="00C27564" w:rsidRPr="00EB2A04" w:rsidRDefault="00C27564" w:rsidP="00C27564">
      <w:pPr>
        <w:spacing w:after="0"/>
        <w:jc w:val="both"/>
      </w:pPr>
      <w:r w:rsidRPr="00EB2A04">
        <w:t>•</w:t>
      </w:r>
      <w:r w:rsidRPr="00EB2A04">
        <w:tab/>
        <w:t>Δυνατότητα αξιοποίησης του εξοπλισμού και τα επόμενα σχολικά έτη, με αποτέλεσμα κάθε χρόνο να αυξάνονται οι ωφελούμενοι μαθητές.</w:t>
      </w:r>
    </w:p>
    <w:p w14:paraId="36FB1993" w14:textId="77777777" w:rsidR="00F67338" w:rsidRPr="00EB2A04" w:rsidRDefault="00F67338" w:rsidP="008751AD">
      <w:pPr>
        <w:jc w:val="both"/>
      </w:pPr>
    </w:p>
    <w:p w14:paraId="6B190353" w14:textId="04D1083A" w:rsidR="00B37909" w:rsidRPr="00EB2A04" w:rsidRDefault="00FB28EE" w:rsidP="008751AD">
      <w:pPr>
        <w:jc w:val="both"/>
      </w:pPr>
      <w:r w:rsidRPr="00EB2A04">
        <w:t xml:space="preserve">Σημειώνεται ότι οι εταιρίες </w:t>
      </w:r>
      <w:proofErr w:type="spellStart"/>
      <w:r w:rsidRPr="00EB2A04">
        <w:rPr>
          <w:rFonts w:cstheme="minorHAnsi"/>
        </w:rPr>
        <w:t>ElvalHalcor</w:t>
      </w:r>
      <w:proofErr w:type="spellEnd"/>
      <w:r w:rsidRPr="00EB2A04">
        <w:t xml:space="preserve"> και Cenergy Holdings </w:t>
      </w:r>
      <w:r w:rsidR="00734C1B" w:rsidRPr="00EB2A04">
        <w:t xml:space="preserve">δεσμεύθηκαν </w:t>
      </w:r>
      <w:r w:rsidRPr="00EB2A04">
        <w:t xml:space="preserve"> να συνεχίσουν το πρόγραμμα σε συνεργασία με το Ίδρυμα </w:t>
      </w:r>
      <w:proofErr w:type="spellStart"/>
      <w:r w:rsidRPr="00EB2A04">
        <w:t>Μποδοσάκη</w:t>
      </w:r>
      <w:proofErr w:type="spellEnd"/>
      <w:r w:rsidRPr="00EB2A04">
        <w:t xml:space="preserve"> και την ΠΑΝ.Ε.Κ.Φ.Ε. και ήδη σχεδιάζεται η υλοποίηση εξοπλισμού εργαστηρίων φυσικών επιστ</w:t>
      </w:r>
      <w:r w:rsidR="00E9444E" w:rsidRPr="00EB2A04">
        <w:t>η</w:t>
      </w:r>
      <w:r w:rsidRPr="00EB2A04">
        <w:t>μ</w:t>
      </w:r>
      <w:r w:rsidR="00E9444E" w:rsidRPr="00EB2A04">
        <w:t>ώ</w:t>
      </w:r>
      <w:r w:rsidRPr="00EB2A04">
        <w:t>ν και σε άλλα δημόσια γυμνάσια της χώρας.</w:t>
      </w:r>
    </w:p>
    <w:p w14:paraId="2941CC4F" w14:textId="6D410614" w:rsidR="004C453F" w:rsidRPr="00EB2A04" w:rsidRDefault="004C453F" w:rsidP="004C453F">
      <w:pPr>
        <w:jc w:val="both"/>
        <w:rPr>
          <w:i/>
          <w:iCs/>
        </w:rPr>
      </w:pPr>
      <w:r w:rsidRPr="00EB2A04">
        <w:rPr>
          <w:b/>
          <w:bCs/>
        </w:rPr>
        <w:t>Ο Γιώργος Μαυραγάνης</w:t>
      </w:r>
      <w:r w:rsidRPr="00EB2A04">
        <w:t xml:space="preserve">, </w:t>
      </w:r>
      <w:proofErr w:type="spellStart"/>
      <w:r w:rsidRPr="00EB2A04">
        <w:t>Strategic</w:t>
      </w:r>
      <w:proofErr w:type="spellEnd"/>
      <w:r w:rsidRPr="00EB2A04">
        <w:t xml:space="preserve"> </w:t>
      </w:r>
      <w:proofErr w:type="spellStart"/>
      <w:r w:rsidRPr="00EB2A04">
        <w:t>Planning</w:t>
      </w:r>
      <w:proofErr w:type="spellEnd"/>
      <w:r w:rsidRPr="00EB2A04">
        <w:t xml:space="preserve"> and </w:t>
      </w:r>
      <w:proofErr w:type="spellStart"/>
      <w:r w:rsidRPr="00EB2A04">
        <w:t>Sustainability</w:t>
      </w:r>
      <w:proofErr w:type="spellEnd"/>
      <w:r w:rsidRPr="00EB2A04">
        <w:t xml:space="preserve"> Director του κλάδου χαλκού της </w:t>
      </w:r>
      <w:proofErr w:type="spellStart"/>
      <w:r w:rsidRPr="00EB2A04">
        <w:t>ElvalHalcor</w:t>
      </w:r>
      <w:proofErr w:type="spellEnd"/>
      <w:r w:rsidRPr="00EB2A04">
        <w:t xml:space="preserve">, δήλωσε ότι: </w:t>
      </w:r>
      <w:r w:rsidRPr="00EB2A04">
        <w:rPr>
          <w:i/>
          <w:iCs/>
        </w:rPr>
        <w:t xml:space="preserve">«Η πρωτοβουλία «Ζήσε την Επιστήμη», που υλοποιείται σε συνεργασία με το Ίδρυμα </w:t>
      </w:r>
      <w:proofErr w:type="spellStart"/>
      <w:r w:rsidRPr="00EB2A04">
        <w:rPr>
          <w:i/>
          <w:iCs/>
        </w:rPr>
        <w:t>Μποδοσάκη</w:t>
      </w:r>
      <w:proofErr w:type="spellEnd"/>
      <w:r w:rsidRPr="00EB2A04">
        <w:rPr>
          <w:i/>
          <w:iCs/>
        </w:rPr>
        <w:t xml:space="preserve">, αποτελεί για την </w:t>
      </w:r>
      <w:proofErr w:type="spellStart"/>
      <w:r w:rsidRPr="00EB2A04">
        <w:rPr>
          <w:i/>
          <w:iCs/>
        </w:rPr>
        <w:t>ElvalHalcor</w:t>
      </w:r>
      <w:proofErr w:type="spellEnd"/>
      <w:r w:rsidRPr="00EB2A04">
        <w:rPr>
          <w:i/>
          <w:iCs/>
        </w:rPr>
        <w:t xml:space="preserve"> μια έμπρακτη </w:t>
      </w:r>
      <w:r w:rsidR="00BE1A4C" w:rsidRPr="00EB2A04">
        <w:rPr>
          <w:i/>
          <w:iCs/>
        </w:rPr>
        <w:t xml:space="preserve">απόδειξη </w:t>
      </w:r>
      <w:r w:rsidRPr="00EB2A04">
        <w:rPr>
          <w:i/>
          <w:iCs/>
        </w:rPr>
        <w:t>του προγράμματος εταιρικής υπευθυνότητας της εταιρίας «Δίπλα σας με Αξία», καθώς επενδύει ουσιαστικά στη γνώση και στις ευκαιρίες για όλους. Η δημιουργία εργαστηρίων φυσικών επιστημών στα σχολεία δεν αποτελεί απλώς μια υποδομή, αλλά ένα παράθυρο πρόσβασης στη σύγχρονη εκπαίδευση, ενισχύοντας την καθημερινότητα μαθητών και εκπαιδευτικών. Για εμάς, η ενίσχυση της περιφέρειας και η στήριξη της νέας γενιάς, ανεξαρτήτως γεωγραφικών περιορισμών, είναι στρατηγική επιλογή και ευθύνη με ουσιαστικό αποτύπωμα.»</w:t>
      </w:r>
    </w:p>
    <w:p w14:paraId="5FA72DC2" w14:textId="008F2DE7" w:rsidR="004C453F" w:rsidRPr="00EB2A04" w:rsidRDefault="004C453F" w:rsidP="004C453F">
      <w:pPr>
        <w:jc w:val="both"/>
        <w:rPr>
          <w:i/>
          <w:iCs/>
        </w:rPr>
      </w:pPr>
      <w:r w:rsidRPr="00EB2A04">
        <w:t xml:space="preserve">O </w:t>
      </w:r>
      <w:r w:rsidRPr="00EB2A04">
        <w:rPr>
          <w:b/>
          <w:bCs/>
        </w:rPr>
        <w:t xml:space="preserve">Κώστας </w:t>
      </w:r>
      <w:proofErr w:type="spellStart"/>
      <w:r w:rsidRPr="00EB2A04">
        <w:rPr>
          <w:b/>
          <w:bCs/>
        </w:rPr>
        <w:t>Βαβαρούτας</w:t>
      </w:r>
      <w:proofErr w:type="spellEnd"/>
      <w:r w:rsidRPr="00EB2A04">
        <w:t xml:space="preserve">, </w:t>
      </w:r>
      <w:proofErr w:type="spellStart"/>
      <w:r w:rsidRPr="00EB2A04">
        <w:t>Senior</w:t>
      </w:r>
      <w:proofErr w:type="spellEnd"/>
      <w:r w:rsidRPr="00EB2A04">
        <w:t xml:space="preserve"> HR Director της Cenergy Holdings, δήλωσε ότι: «</w:t>
      </w:r>
      <w:r w:rsidRPr="00EB2A04">
        <w:rPr>
          <w:i/>
          <w:iCs/>
        </w:rPr>
        <w:t xml:space="preserve">Η επένδυση στη νέα γενιά και στην εκπαίδευση αποτελεί στρατηγική προτεραιότητα για την Cenergy Holdings και τις θυγατρικές της, Hellenic Cables και </w:t>
      </w:r>
      <w:proofErr w:type="spellStart"/>
      <w:r w:rsidRPr="00EB2A04">
        <w:rPr>
          <w:i/>
          <w:iCs/>
        </w:rPr>
        <w:t>Σωληνουργεία</w:t>
      </w:r>
      <w:proofErr w:type="spellEnd"/>
      <w:r w:rsidRPr="00EB2A04">
        <w:rPr>
          <w:i/>
          <w:iCs/>
        </w:rPr>
        <w:t xml:space="preserve"> Κορίνθου. Μέσα από τη </w:t>
      </w:r>
      <w:proofErr w:type="spellStart"/>
      <w:r w:rsidRPr="00EB2A04">
        <w:rPr>
          <w:i/>
          <w:iCs/>
        </w:rPr>
        <w:t>στοχευμένη</w:t>
      </w:r>
      <w:proofErr w:type="spellEnd"/>
      <w:r w:rsidRPr="00EB2A04">
        <w:rPr>
          <w:i/>
          <w:iCs/>
        </w:rPr>
        <w:t xml:space="preserve"> στήριξή μας στο πρόγραμμα “Ζήσε την Επιστήμη”, ενισχύουμε ουσιαστικά την εργαστηριακή εκπαίδευση και </w:t>
      </w:r>
      <w:r w:rsidR="00F80DD1" w:rsidRPr="00EB2A04">
        <w:rPr>
          <w:i/>
          <w:iCs/>
        </w:rPr>
        <w:t>τον προσανατολισμό προς τις φυσικές επιστήμες</w:t>
      </w:r>
      <w:r w:rsidR="00EB2A04" w:rsidRPr="00EB2A04">
        <w:rPr>
          <w:i/>
          <w:iCs/>
        </w:rPr>
        <w:t xml:space="preserve"> </w:t>
      </w:r>
      <w:r w:rsidRPr="00EB2A04">
        <w:rPr>
          <w:i/>
          <w:iCs/>
        </w:rPr>
        <w:t>στους μαθητές δημοσίων γυμνασίων, συμβάλλοντας ενεργά στην ενδυνάμωση των τοπικών κοινωνιών όπου δραστηριοποιούμαστε. Η πρωτοβουλία αυτή εκφράζει έμπρακτα τη δέσμευσή μας στη Βιώσιμη Ανάπτυξη, επενδύοντας σήμερα στους νέους που διαμορφώνουν το αύριο.»</w:t>
      </w:r>
    </w:p>
    <w:p w14:paraId="2CD7C857" w14:textId="77777777" w:rsidR="000A0D38" w:rsidRPr="00EB2A04" w:rsidRDefault="003970C8" w:rsidP="00697D83">
      <w:pPr>
        <w:jc w:val="both"/>
        <w:rPr>
          <w:i/>
          <w:iCs/>
        </w:rPr>
      </w:pPr>
      <w:r w:rsidRPr="00EB2A04">
        <w:t xml:space="preserve">Η </w:t>
      </w:r>
      <w:r w:rsidRPr="00EB2A04">
        <w:rPr>
          <w:b/>
          <w:bCs/>
        </w:rPr>
        <w:t>Χαρά Τασόγλου</w:t>
      </w:r>
      <w:r w:rsidRPr="00EB2A04">
        <w:t xml:space="preserve">, </w:t>
      </w:r>
      <w:r w:rsidR="00167FBD" w:rsidRPr="00EB2A04">
        <w:t xml:space="preserve">Διευθύντρια Επικοινωνίας και Ανάπτυξης του Ιδρύματος </w:t>
      </w:r>
      <w:proofErr w:type="spellStart"/>
      <w:r w:rsidR="00167FBD" w:rsidRPr="00EB2A04">
        <w:t>Μποδοσάκη</w:t>
      </w:r>
      <w:proofErr w:type="spellEnd"/>
      <w:r w:rsidR="00167FBD" w:rsidRPr="00EB2A04">
        <w:t>, σημείωσε: «</w:t>
      </w:r>
      <w:r w:rsidR="00167FBD" w:rsidRPr="00EB2A04">
        <w:rPr>
          <w:i/>
          <w:iCs/>
        </w:rPr>
        <w:t xml:space="preserve">Το Ίδρυμα </w:t>
      </w:r>
      <w:proofErr w:type="spellStart"/>
      <w:r w:rsidR="00167FBD" w:rsidRPr="00EB2A04">
        <w:rPr>
          <w:i/>
          <w:iCs/>
        </w:rPr>
        <w:t>Μποδοσάκη</w:t>
      </w:r>
      <w:proofErr w:type="spellEnd"/>
      <w:r w:rsidR="00536860" w:rsidRPr="00EB2A04">
        <w:rPr>
          <w:i/>
          <w:iCs/>
        </w:rPr>
        <w:t xml:space="preserve"> είναι </w:t>
      </w:r>
      <w:r w:rsidR="00525143" w:rsidRPr="00EB2A04">
        <w:rPr>
          <w:i/>
          <w:iCs/>
        </w:rPr>
        <w:t xml:space="preserve">διαχρονικά </w:t>
      </w:r>
      <w:r w:rsidR="00536860" w:rsidRPr="00EB2A04">
        <w:rPr>
          <w:i/>
          <w:iCs/>
        </w:rPr>
        <w:t>προσηλωμένο στην προαγωγή της παιδείας και τη</w:t>
      </w:r>
      <w:r w:rsidR="00563AB4" w:rsidRPr="00EB2A04">
        <w:rPr>
          <w:i/>
          <w:iCs/>
        </w:rPr>
        <w:t xml:space="preserve"> δημιουργία ίσων ευκαιριών πρόσβασης σε ποιοτική εκ</w:t>
      </w:r>
      <w:r w:rsidR="00525143" w:rsidRPr="00EB2A04">
        <w:rPr>
          <w:i/>
          <w:iCs/>
        </w:rPr>
        <w:t>παί</w:t>
      </w:r>
      <w:r w:rsidR="00563AB4" w:rsidRPr="00EB2A04">
        <w:rPr>
          <w:i/>
          <w:iCs/>
        </w:rPr>
        <w:t>δευση και</w:t>
      </w:r>
      <w:r w:rsidR="00167FBD" w:rsidRPr="00EB2A04">
        <w:rPr>
          <w:i/>
          <w:iCs/>
        </w:rPr>
        <w:t xml:space="preserve"> </w:t>
      </w:r>
      <w:r w:rsidR="00525143" w:rsidRPr="00EB2A04">
        <w:rPr>
          <w:i/>
          <w:iCs/>
        </w:rPr>
        <w:t xml:space="preserve">παράλληλα </w:t>
      </w:r>
      <w:r w:rsidR="00167FBD" w:rsidRPr="00EB2A04">
        <w:rPr>
          <w:i/>
          <w:iCs/>
        </w:rPr>
        <w:t xml:space="preserve">δρα συστηματικά ως δίαυλος προσφοράς προς την ελληνική κοινωνία,  ενώνοντας  τις δυνάμεις του με εταιρείες με δέσμευση στην κοινωνική προσφορά. Το πρόγραμμα “Ζήσε την Επιστήμη” αποτελεί ένα χαρακτηριστικό παράδειγμα αυτής της προσέγγισης, ενισχύοντας </w:t>
      </w:r>
    </w:p>
    <w:p w14:paraId="6C865B36" w14:textId="77777777" w:rsidR="00435E6D" w:rsidRPr="00EB2A04" w:rsidRDefault="00435E6D" w:rsidP="00697D83">
      <w:pPr>
        <w:jc w:val="both"/>
        <w:rPr>
          <w:i/>
          <w:iCs/>
        </w:rPr>
      </w:pPr>
    </w:p>
    <w:p w14:paraId="29972BF1" w14:textId="7F75FD60" w:rsidR="003970C8" w:rsidRPr="00EB2A04" w:rsidRDefault="00167FBD" w:rsidP="00697D83">
      <w:pPr>
        <w:jc w:val="both"/>
      </w:pPr>
      <w:r w:rsidRPr="00EB2A04">
        <w:rPr>
          <w:i/>
          <w:iCs/>
        </w:rPr>
        <w:t xml:space="preserve">την ισότιμη πρόσβαση των μαθητών και μαθητριών στην ποιοτική εκπαίδευση στις φυσικές επιστήμες, με την πολύτιμη στήριξη επιχειρήσεων. Ευχαριστούμε θερμά την </w:t>
      </w:r>
      <w:proofErr w:type="spellStart"/>
      <w:r w:rsidRPr="00EB2A04">
        <w:rPr>
          <w:i/>
          <w:iCs/>
        </w:rPr>
        <w:t>ElvalHalcor</w:t>
      </w:r>
      <w:proofErr w:type="spellEnd"/>
      <w:r w:rsidRPr="00EB2A04">
        <w:rPr>
          <w:i/>
          <w:iCs/>
        </w:rPr>
        <w:t xml:space="preserve"> και την Cenergy Holdings για την εμπιστοσύνη και τη συνεργασία τους σε μια πρωτοβουλία με σημαντικό αποτύπωμα για τη νέα γενιά</w:t>
      </w:r>
      <w:r w:rsidRPr="00EB2A04">
        <w:t>.»</w:t>
      </w:r>
    </w:p>
    <w:p w14:paraId="02FD2760" w14:textId="2BB13868" w:rsidR="00C31E1B" w:rsidRPr="00EB2A04" w:rsidRDefault="008751AD" w:rsidP="008751AD">
      <w:pPr>
        <w:jc w:val="both"/>
      </w:pPr>
      <w:r w:rsidRPr="00EB2A04">
        <w:t xml:space="preserve">Η </w:t>
      </w:r>
      <w:r w:rsidRPr="00EB2A04">
        <w:rPr>
          <w:lang w:val="en-US"/>
        </w:rPr>
        <w:t>Cenergy</w:t>
      </w:r>
      <w:r w:rsidRPr="00EB2A04">
        <w:t xml:space="preserve"> </w:t>
      </w:r>
      <w:r w:rsidRPr="00EB2A04">
        <w:rPr>
          <w:lang w:val="en-US"/>
        </w:rPr>
        <w:t>Holdings</w:t>
      </w:r>
      <w:r w:rsidRPr="00EB2A04">
        <w:t xml:space="preserve"> και η </w:t>
      </w:r>
      <w:proofErr w:type="spellStart"/>
      <w:r w:rsidR="0089270C" w:rsidRPr="00EB2A04">
        <w:rPr>
          <w:rFonts w:cstheme="minorHAnsi"/>
          <w:lang w:val="en-US"/>
        </w:rPr>
        <w:t>ElvalHalcor</w:t>
      </w:r>
      <w:proofErr w:type="spellEnd"/>
      <w:r w:rsidR="0089270C" w:rsidRPr="00EB2A04">
        <w:t xml:space="preserve"> </w:t>
      </w:r>
      <w:r w:rsidR="00C75CA7" w:rsidRPr="00EB2A04">
        <w:t>στηρίζουν με συνέπεια πρωτοβουλίες με ουσιαστικό κοινωνικό και εκπαιδευτικό αποτύπωμα, που ανοίγουν δρόμους γνώσης, δημιουργίας και προόδου για τη νέα γενιά. Μέσα από δράσεις που προάγουν την ισότιμη πρόσβαση στις επιστήμες, τη μάθηση και την καινοτομία, επενδύουν έμπρακτα σε ένα καλύτερο αύριο, προσφέροντας προοπτική και δυνατότητες για τ</w:t>
      </w:r>
      <w:r w:rsidR="00B37909" w:rsidRPr="00EB2A04">
        <w:t>η νέα γενιά.</w:t>
      </w:r>
      <w:r w:rsidR="00C75CA7" w:rsidRPr="00EB2A04">
        <w:t xml:space="preserve"> </w:t>
      </w:r>
    </w:p>
    <w:p w14:paraId="53430942" w14:textId="77777777" w:rsidR="000A0D38" w:rsidRPr="00EB2A04" w:rsidRDefault="000A0D38" w:rsidP="000A0D38">
      <w:pPr>
        <w:spacing w:after="0" w:line="240" w:lineRule="auto"/>
        <w:rPr>
          <w:sz w:val="22"/>
          <w:szCs w:val="22"/>
        </w:rPr>
      </w:pPr>
      <w:r w:rsidRPr="00EB2A04">
        <w:rPr>
          <w:rFonts w:eastAsia="Times New Roman" w:cs="Calibri"/>
          <w:b/>
          <w:bCs/>
          <w:sz w:val="22"/>
          <w:szCs w:val="22"/>
        </w:rPr>
        <w:t xml:space="preserve">Σχετικά με την </w:t>
      </w:r>
      <w:proofErr w:type="spellStart"/>
      <w:r w:rsidRPr="00EB2A04">
        <w:rPr>
          <w:rFonts w:eastAsia="Times New Roman" w:cs="Calibri"/>
          <w:b/>
          <w:bCs/>
          <w:sz w:val="22"/>
          <w:szCs w:val="22"/>
        </w:rPr>
        <w:t>ElvalHalcor</w:t>
      </w:r>
      <w:proofErr w:type="spellEnd"/>
    </w:p>
    <w:p w14:paraId="686D4A75" w14:textId="209C03B3" w:rsidR="000A0D38" w:rsidRPr="00BD52C5" w:rsidRDefault="000A0D38" w:rsidP="000A0D38">
      <w:pPr>
        <w:spacing w:after="0" w:line="240" w:lineRule="auto"/>
        <w:jc w:val="both"/>
        <w:rPr>
          <w:b/>
          <w:bCs/>
          <w:sz w:val="20"/>
          <w:szCs w:val="20"/>
        </w:rPr>
      </w:pPr>
      <w:r w:rsidRPr="00EB2A04">
        <w:rPr>
          <w:sz w:val="20"/>
          <w:szCs w:val="20"/>
        </w:rPr>
        <w:t xml:space="preserve">Η </w:t>
      </w:r>
      <w:proofErr w:type="spellStart"/>
      <w:r w:rsidRPr="00EB2A04">
        <w:rPr>
          <w:sz w:val="20"/>
          <w:szCs w:val="20"/>
          <w:lang w:val="en-GB"/>
        </w:rPr>
        <w:t>ElvalHalcor</w:t>
      </w:r>
      <w:proofErr w:type="spellEnd"/>
      <w:r w:rsidRPr="00EB2A04">
        <w:rPr>
          <w:sz w:val="20"/>
          <w:szCs w:val="20"/>
        </w:rPr>
        <w:t xml:space="preserve"> είναι μία από τις κορυφαίες παγκοσμίως εταιρίες παραγωγής προϊόντων και λύσεων αλουμινίου και χαλκού. Η Εταιρία διαθέτει πάνω από 85 χρόνια εμπειρίας και τεχνογνωσίας, ισχυρή παραγωγική βάση με 15 εργοστασιακές μονάδες και εμπορική παρουσία σε πάνω από 90 χώρες. Προσφέρει βιώσιμες λύσεις και προϊόντα σε δυναμικά αναπτυσσόμενες αγορές όπως οι συσκευασίες, οι μεταφορές, η δόμηση και κατασκευές, η θέρμανση, η ψύξη και ο κλιματισμός, η αμυντική βιομηχανία, τα </w:t>
      </w:r>
      <w:proofErr w:type="spellStart"/>
      <w:r w:rsidRPr="00EB2A04">
        <w:rPr>
          <w:sz w:val="20"/>
          <w:szCs w:val="20"/>
        </w:rPr>
        <w:t>data</w:t>
      </w:r>
      <w:proofErr w:type="spellEnd"/>
      <w:r w:rsidRPr="00EB2A04">
        <w:rPr>
          <w:sz w:val="20"/>
          <w:szCs w:val="20"/>
        </w:rPr>
        <w:t xml:space="preserve"> </w:t>
      </w:r>
      <w:r w:rsidRPr="00EB2A04">
        <w:rPr>
          <w:sz w:val="20"/>
          <w:szCs w:val="20"/>
          <w:lang w:val="en-GB"/>
        </w:rPr>
        <w:t>centres</w:t>
      </w:r>
      <w:r w:rsidRPr="00EB2A04">
        <w:rPr>
          <w:sz w:val="20"/>
          <w:szCs w:val="20"/>
        </w:rPr>
        <w:t xml:space="preserve"> και οι ΑΠΕ. </w:t>
      </w:r>
      <w:hyperlink r:id="rId6" w:history="1">
        <w:r w:rsidRPr="00EB2A04">
          <w:rPr>
            <w:rStyle w:val="Hyperlink"/>
            <w:b/>
            <w:bCs/>
            <w:color w:val="auto"/>
            <w:sz w:val="20"/>
            <w:szCs w:val="20"/>
            <w:lang w:val="en-GB"/>
          </w:rPr>
          <w:t>www</w:t>
        </w:r>
        <w:r w:rsidRPr="00EB2A04">
          <w:rPr>
            <w:rStyle w:val="Hyperlink"/>
            <w:b/>
            <w:bCs/>
            <w:color w:val="auto"/>
            <w:sz w:val="20"/>
            <w:szCs w:val="20"/>
          </w:rPr>
          <w:t>.</w:t>
        </w:r>
        <w:proofErr w:type="spellStart"/>
        <w:r w:rsidRPr="00EB2A04">
          <w:rPr>
            <w:rStyle w:val="Hyperlink"/>
            <w:b/>
            <w:bCs/>
            <w:color w:val="auto"/>
            <w:sz w:val="20"/>
            <w:szCs w:val="20"/>
            <w:lang w:val="en-GB"/>
          </w:rPr>
          <w:t>elvalhalcor</w:t>
        </w:r>
        <w:proofErr w:type="spellEnd"/>
        <w:r w:rsidRPr="00EB2A04">
          <w:rPr>
            <w:rStyle w:val="Hyperlink"/>
            <w:b/>
            <w:bCs/>
            <w:color w:val="auto"/>
            <w:sz w:val="20"/>
            <w:szCs w:val="20"/>
          </w:rPr>
          <w:t>.</w:t>
        </w:r>
        <w:r w:rsidRPr="00EB2A04">
          <w:rPr>
            <w:rStyle w:val="Hyperlink"/>
            <w:b/>
            <w:bCs/>
            <w:color w:val="auto"/>
            <w:sz w:val="20"/>
            <w:szCs w:val="20"/>
            <w:lang w:val="en-GB"/>
          </w:rPr>
          <w:t>com</w:t>
        </w:r>
      </w:hyperlink>
      <w:r w:rsidRPr="00EB2A04">
        <w:rPr>
          <w:b/>
          <w:bCs/>
          <w:sz w:val="20"/>
          <w:szCs w:val="20"/>
        </w:rPr>
        <w:t xml:space="preserve"> </w:t>
      </w:r>
    </w:p>
    <w:p w14:paraId="613F740B" w14:textId="77777777" w:rsidR="00EB2A04" w:rsidRPr="00EB2A04" w:rsidRDefault="00EB2A04" w:rsidP="000A0D38">
      <w:pPr>
        <w:spacing w:after="0" w:line="240" w:lineRule="auto"/>
        <w:jc w:val="both"/>
        <w:rPr>
          <w:b/>
          <w:bCs/>
          <w:sz w:val="20"/>
          <w:szCs w:val="20"/>
        </w:rPr>
      </w:pPr>
    </w:p>
    <w:p w14:paraId="1B91D7E0" w14:textId="77777777" w:rsidR="000A0D38" w:rsidRPr="00EB2A04" w:rsidRDefault="000A0D38" w:rsidP="000A0D38">
      <w:pPr>
        <w:spacing w:after="0" w:line="240" w:lineRule="auto"/>
        <w:jc w:val="both"/>
        <w:rPr>
          <w:rFonts w:eastAsia="Times New Roman" w:cs="Calibri"/>
          <w:b/>
          <w:bCs/>
          <w:sz w:val="22"/>
          <w:szCs w:val="22"/>
        </w:rPr>
      </w:pPr>
      <w:r w:rsidRPr="00EB2A04">
        <w:rPr>
          <w:rFonts w:eastAsia="Times New Roman" w:cs="Calibri"/>
          <w:b/>
          <w:bCs/>
          <w:sz w:val="22"/>
          <w:szCs w:val="22"/>
        </w:rPr>
        <w:t>Σχετικά με τη Cenergy Holdings </w:t>
      </w:r>
    </w:p>
    <w:p w14:paraId="451365EC" w14:textId="5B466CEF" w:rsidR="000A0D38" w:rsidRPr="00EB2A04" w:rsidRDefault="000A0D38" w:rsidP="000A0D38">
      <w:pPr>
        <w:spacing w:after="0" w:line="240" w:lineRule="auto"/>
        <w:jc w:val="both"/>
        <w:rPr>
          <w:sz w:val="20"/>
          <w:szCs w:val="20"/>
        </w:rPr>
      </w:pPr>
      <w:r w:rsidRPr="00EB2A04">
        <w:rPr>
          <w:sz w:val="20"/>
          <w:szCs w:val="20"/>
        </w:rPr>
        <w:t>Η</w:t>
      </w:r>
      <w:r w:rsidRPr="00EB2A04">
        <w:rPr>
          <w:sz w:val="20"/>
          <w:szCs w:val="20"/>
          <w:lang w:val="en-GB"/>
        </w:rPr>
        <w:t> Cenergy Holdings</w:t>
      </w:r>
      <w:r w:rsidRPr="00EB2A04">
        <w:rPr>
          <w:sz w:val="20"/>
          <w:szCs w:val="20"/>
        </w:rPr>
        <w:t xml:space="preserve"> είναι μια Βελγική εταιρεία συμμετοχών εισηγμένη τόσο στο Χρηματιστήριο των Βρυξελλών όσο και στο Χρηματιστήριο των Αθηνών, επενδύοντας σε κορυφαίες βιομηχανικές εταιρείες, εστιάζοντας στην αυξανόμενη παγκόσμια ζήτηση μεταφοράς ενέργειας, ανανεώσιμων πηγών ενέργειας και μετάδοσης δεδομένων.</w:t>
      </w:r>
      <w:r w:rsidRPr="00EB2A04">
        <w:rPr>
          <w:sz w:val="20"/>
          <w:szCs w:val="20"/>
          <w:lang w:val="en-GB"/>
        </w:rPr>
        <w:t>  </w:t>
      </w:r>
      <w:r w:rsidRPr="00EB2A04">
        <w:rPr>
          <w:sz w:val="20"/>
          <w:szCs w:val="20"/>
        </w:rPr>
        <w:t>Το χαρτοφυλάκιο της</w:t>
      </w:r>
      <w:r w:rsidRPr="00EB2A04">
        <w:rPr>
          <w:sz w:val="20"/>
          <w:szCs w:val="20"/>
          <w:lang w:val="en-GB"/>
        </w:rPr>
        <w:t> Cenergy Holdings</w:t>
      </w:r>
      <w:r w:rsidRPr="00EB2A04">
        <w:rPr>
          <w:sz w:val="20"/>
          <w:szCs w:val="20"/>
        </w:rPr>
        <w:t xml:space="preserve"> αποτελείται από την</w:t>
      </w:r>
      <w:r w:rsidRPr="00EB2A04">
        <w:rPr>
          <w:sz w:val="20"/>
          <w:szCs w:val="20"/>
          <w:lang w:val="en-GB"/>
        </w:rPr>
        <w:t> </w:t>
      </w:r>
      <w:proofErr w:type="spellStart"/>
      <w:r w:rsidRPr="00EB2A04">
        <w:rPr>
          <w:sz w:val="20"/>
          <w:szCs w:val="20"/>
        </w:rPr>
        <w:t>Σωληνουργεία</w:t>
      </w:r>
      <w:proofErr w:type="spellEnd"/>
      <w:r w:rsidRPr="00EB2A04">
        <w:rPr>
          <w:sz w:val="20"/>
          <w:szCs w:val="20"/>
          <w:lang w:val="en-GB"/>
        </w:rPr>
        <w:t> </w:t>
      </w:r>
      <w:r w:rsidRPr="00EB2A04">
        <w:rPr>
          <w:sz w:val="20"/>
          <w:szCs w:val="20"/>
        </w:rPr>
        <w:t xml:space="preserve">Κορίνθου και την </w:t>
      </w:r>
      <w:r w:rsidRPr="00EB2A04">
        <w:rPr>
          <w:sz w:val="20"/>
          <w:szCs w:val="20"/>
          <w:lang w:val="en-GB"/>
        </w:rPr>
        <w:t>Hellenic</w:t>
      </w:r>
      <w:r w:rsidRPr="00EB2A04">
        <w:rPr>
          <w:sz w:val="20"/>
          <w:szCs w:val="20"/>
        </w:rPr>
        <w:t xml:space="preserve"> </w:t>
      </w:r>
      <w:r w:rsidRPr="00EB2A04">
        <w:rPr>
          <w:sz w:val="20"/>
          <w:szCs w:val="20"/>
          <w:lang w:val="en-GB"/>
        </w:rPr>
        <w:t>Cables</w:t>
      </w:r>
      <w:r w:rsidRPr="00EB2A04">
        <w:rPr>
          <w:sz w:val="20"/>
          <w:szCs w:val="20"/>
        </w:rPr>
        <w:t>, εταιρείες που βρίσκονται στην πρώτη γραμμή των αντίστοιχων τομέων ανάπτυξης.</w:t>
      </w:r>
      <w:r w:rsidRPr="00EB2A04">
        <w:rPr>
          <w:sz w:val="20"/>
          <w:szCs w:val="20"/>
          <w:lang w:val="en-GB"/>
        </w:rPr>
        <w:t>  </w:t>
      </w:r>
      <w:r w:rsidRPr="00EB2A04">
        <w:rPr>
          <w:sz w:val="20"/>
          <w:szCs w:val="20"/>
        </w:rPr>
        <w:t xml:space="preserve">Η </w:t>
      </w:r>
      <w:r w:rsidRPr="00EB2A04">
        <w:rPr>
          <w:sz w:val="20"/>
          <w:szCs w:val="20"/>
          <w:lang w:val="en-GB"/>
        </w:rPr>
        <w:t>Hellenic</w:t>
      </w:r>
      <w:r w:rsidRPr="00EB2A04">
        <w:rPr>
          <w:sz w:val="20"/>
          <w:szCs w:val="20"/>
        </w:rPr>
        <w:t xml:space="preserve"> </w:t>
      </w:r>
      <w:r w:rsidRPr="00EB2A04">
        <w:rPr>
          <w:sz w:val="20"/>
          <w:szCs w:val="20"/>
          <w:lang w:val="en-GB"/>
        </w:rPr>
        <w:t>Cables</w:t>
      </w:r>
      <w:r w:rsidRPr="00EB2A04">
        <w:rPr>
          <w:sz w:val="20"/>
          <w:szCs w:val="20"/>
        </w:rPr>
        <w:t xml:space="preserve"> είναι ένας από τους μεγαλύτερους παραγωγούς καλωδίων στην Ευρώπη, κατασκευάζοντας καλώδια ηλεκτρικής ισχύος, τηλεπικοινωνιών καθώς και υποβρύχια καλώδια για πολλές εφαρμογές.</w:t>
      </w:r>
      <w:r w:rsidRPr="00EB2A04">
        <w:rPr>
          <w:sz w:val="20"/>
          <w:szCs w:val="20"/>
          <w:lang w:val="en-GB"/>
        </w:rPr>
        <w:t>  </w:t>
      </w:r>
      <w:r w:rsidRPr="00EB2A04">
        <w:rPr>
          <w:sz w:val="20"/>
          <w:szCs w:val="20"/>
        </w:rPr>
        <w:t>Η</w:t>
      </w:r>
      <w:r w:rsidRPr="00EB2A04">
        <w:rPr>
          <w:sz w:val="20"/>
          <w:szCs w:val="20"/>
          <w:lang w:val="en-GB"/>
        </w:rPr>
        <w:t> </w:t>
      </w:r>
      <w:proofErr w:type="spellStart"/>
      <w:r w:rsidRPr="00EB2A04">
        <w:rPr>
          <w:sz w:val="20"/>
          <w:szCs w:val="20"/>
        </w:rPr>
        <w:t>Σωληνουργεία</w:t>
      </w:r>
      <w:proofErr w:type="spellEnd"/>
      <w:r w:rsidRPr="00EB2A04">
        <w:rPr>
          <w:sz w:val="20"/>
          <w:szCs w:val="20"/>
          <w:lang w:val="en-GB"/>
        </w:rPr>
        <w:t> </w:t>
      </w:r>
      <w:r w:rsidRPr="00EB2A04">
        <w:rPr>
          <w:sz w:val="20"/>
          <w:szCs w:val="20"/>
        </w:rPr>
        <w:t>Κορίνθου είναι</w:t>
      </w:r>
      <w:r w:rsidRPr="00EB2A04">
        <w:rPr>
          <w:sz w:val="20"/>
          <w:szCs w:val="20"/>
          <w:lang w:val="en-GB"/>
        </w:rPr>
        <w:t> </w:t>
      </w:r>
      <w:r w:rsidRPr="00EB2A04">
        <w:rPr>
          <w:sz w:val="20"/>
          <w:szCs w:val="20"/>
        </w:rPr>
        <w:t>παγκόσμιος ηγέτης στην κατασκευή σωλήνων χάλυβα για τον κλάδο της ενέργειας και σημαντικός παραγωγός</w:t>
      </w:r>
      <w:r w:rsidRPr="00EB2A04">
        <w:rPr>
          <w:sz w:val="20"/>
          <w:szCs w:val="20"/>
          <w:lang w:val="en-GB"/>
        </w:rPr>
        <w:t> </w:t>
      </w:r>
      <w:proofErr w:type="spellStart"/>
      <w:r w:rsidRPr="00EB2A04">
        <w:rPr>
          <w:sz w:val="20"/>
          <w:szCs w:val="20"/>
        </w:rPr>
        <w:t>κοιλοδοκών</w:t>
      </w:r>
      <w:proofErr w:type="spellEnd"/>
      <w:r w:rsidRPr="00EB2A04">
        <w:rPr>
          <w:sz w:val="20"/>
          <w:szCs w:val="20"/>
          <w:lang w:val="en-GB"/>
        </w:rPr>
        <w:t> </w:t>
      </w:r>
      <w:r w:rsidRPr="00EB2A04">
        <w:rPr>
          <w:sz w:val="20"/>
          <w:szCs w:val="20"/>
        </w:rPr>
        <w:t>χάλυβα για τον κατασκευαστικό κλάδο. Για περισσότερες πληροφορίες σχετικά με την εταιρεία μας, παρακαλώ επισκεφθείτε την ιστοσελίδα μας</w:t>
      </w:r>
      <w:r w:rsidRPr="00EB2A04">
        <w:rPr>
          <w:rFonts w:eastAsia="Times New Roman" w:cs="Calibri"/>
        </w:rPr>
        <w:t> </w:t>
      </w:r>
      <w:hyperlink r:id="rId7" w:history="1">
        <w:r w:rsidRPr="00EB2A04">
          <w:rPr>
            <w:rFonts w:eastAsia="Times New Roman" w:cs="Calibri"/>
            <w:b/>
            <w:bCs/>
            <w:sz w:val="20"/>
            <w:szCs w:val="20"/>
            <w:u w:val="single"/>
          </w:rPr>
          <w:t>www.cenergyholdings.com</w:t>
        </w:r>
      </w:hyperlink>
      <w:r w:rsidRPr="00EB2A04">
        <w:rPr>
          <w:sz w:val="20"/>
          <w:szCs w:val="20"/>
        </w:rPr>
        <w:t> </w:t>
      </w:r>
    </w:p>
    <w:p w14:paraId="1439D565" w14:textId="77777777" w:rsidR="000A0D38" w:rsidRPr="00EB2A04" w:rsidRDefault="000A0D38" w:rsidP="000A0D38">
      <w:pPr>
        <w:spacing w:after="0" w:line="240" w:lineRule="auto"/>
        <w:jc w:val="both"/>
        <w:rPr>
          <w:sz w:val="22"/>
          <w:szCs w:val="22"/>
        </w:rPr>
      </w:pPr>
    </w:p>
    <w:p w14:paraId="5DC9DEB8" w14:textId="5A97083C" w:rsidR="00435E6D" w:rsidRPr="00EB2A04" w:rsidRDefault="00435E6D" w:rsidP="00435E6D">
      <w:pPr>
        <w:spacing w:after="0" w:line="240" w:lineRule="auto"/>
        <w:rPr>
          <w:rFonts w:eastAsia="Times New Roman" w:cs="Times New Roman"/>
          <w:b/>
          <w:bCs/>
          <w:kern w:val="0"/>
          <w:sz w:val="22"/>
          <w:szCs w:val="22"/>
          <w:lang w:eastAsia="el-GR"/>
          <w14:ligatures w14:val="none"/>
        </w:rPr>
      </w:pPr>
      <w:r w:rsidRPr="00EB2A04">
        <w:rPr>
          <w:rFonts w:eastAsia="Times New Roman" w:cs="Times New Roman"/>
          <w:b/>
          <w:bCs/>
          <w:kern w:val="0"/>
          <w:sz w:val="22"/>
          <w:szCs w:val="22"/>
          <w:lang w:eastAsia="el-GR"/>
          <w14:ligatures w14:val="none"/>
        </w:rPr>
        <w:t>Σχετικά με το ‘</w:t>
      </w:r>
      <w:proofErr w:type="spellStart"/>
      <w:r w:rsidRPr="00EB2A04">
        <w:rPr>
          <w:rFonts w:eastAsia="Times New Roman" w:cs="Times New Roman"/>
          <w:b/>
          <w:bCs/>
          <w:kern w:val="0"/>
          <w:sz w:val="22"/>
          <w:szCs w:val="22"/>
          <w:lang w:eastAsia="el-GR"/>
          <w14:ligatures w14:val="none"/>
        </w:rPr>
        <w:t>Ιδρυμα</w:t>
      </w:r>
      <w:proofErr w:type="spellEnd"/>
      <w:r w:rsidRPr="00EB2A04">
        <w:rPr>
          <w:rFonts w:eastAsia="Times New Roman" w:cs="Times New Roman"/>
          <w:b/>
          <w:bCs/>
          <w:kern w:val="0"/>
          <w:sz w:val="22"/>
          <w:szCs w:val="22"/>
          <w:lang w:eastAsia="el-GR"/>
          <w14:ligatures w14:val="none"/>
        </w:rPr>
        <w:t xml:space="preserve"> </w:t>
      </w:r>
      <w:proofErr w:type="spellStart"/>
      <w:r w:rsidRPr="00EB2A04">
        <w:rPr>
          <w:rFonts w:eastAsia="Times New Roman" w:cs="Times New Roman"/>
          <w:b/>
          <w:bCs/>
          <w:kern w:val="0"/>
          <w:sz w:val="22"/>
          <w:szCs w:val="22"/>
          <w:lang w:eastAsia="el-GR"/>
          <w14:ligatures w14:val="none"/>
        </w:rPr>
        <w:t>Μποδοσάκη</w:t>
      </w:r>
      <w:proofErr w:type="spellEnd"/>
    </w:p>
    <w:p w14:paraId="18CBC2DB" w14:textId="04CA3E6F" w:rsidR="00435E6D" w:rsidRPr="00EB2A04" w:rsidRDefault="00435E6D" w:rsidP="00435E6D">
      <w:pPr>
        <w:spacing w:after="0" w:line="240" w:lineRule="auto"/>
        <w:rPr>
          <w:rFonts w:eastAsia="Times New Roman" w:cs="Times New Roman"/>
          <w:kern w:val="0"/>
          <w:sz w:val="20"/>
          <w:szCs w:val="20"/>
          <w:lang w:eastAsia="el-GR"/>
          <w14:ligatures w14:val="none"/>
        </w:rPr>
      </w:pPr>
      <w:r w:rsidRPr="00EB2A04">
        <w:rPr>
          <w:rFonts w:eastAsia="Times New Roman" w:cs="Times New Roman"/>
          <w:kern w:val="0"/>
          <w:sz w:val="20"/>
          <w:szCs w:val="20"/>
          <w:lang w:eastAsia="el-GR"/>
          <w14:ligatures w14:val="none"/>
        </w:rPr>
        <w:t xml:space="preserve">Ίδρυμα </w:t>
      </w:r>
      <w:proofErr w:type="spellStart"/>
      <w:r w:rsidRPr="00EB2A04">
        <w:rPr>
          <w:rFonts w:eastAsia="Times New Roman" w:cs="Times New Roman"/>
          <w:kern w:val="0"/>
          <w:sz w:val="20"/>
          <w:szCs w:val="20"/>
          <w:lang w:eastAsia="el-GR"/>
          <w14:ligatures w14:val="none"/>
        </w:rPr>
        <w:t>Μποδοσάκη</w:t>
      </w:r>
      <w:proofErr w:type="spellEnd"/>
      <w:r w:rsidRPr="00EB2A04">
        <w:rPr>
          <w:rFonts w:eastAsia="Times New Roman" w:cs="Times New Roman"/>
          <w:kern w:val="0"/>
          <w:sz w:val="20"/>
          <w:szCs w:val="20"/>
          <w:lang w:eastAsia="el-GR"/>
          <w14:ligatures w14:val="none"/>
        </w:rPr>
        <w:t xml:space="preserve"> ιδρύθηκε το 1972, ως κοινωφελής οργανισμός με σκοπό τη συνέχιση της προσφοράς του ιδρυτή του, Πρόδρομου </w:t>
      </w:r>
      <w:proofErr w:type="spellStart"/>
      <w:r w:rsidRPr="00EB2A04">
        <w:rPr>
          <w:rFonts w:eastAsia="Times New Roman" w:cs="Times New Roman"/>
          <w:kern w:val="0"/>
          <w:sz w:val="20"/>
          <w:szCs w:val="20"/>
          <w:lang w:eastAsia="el-GR"/>
          <w14:ligatures w14:val="none"/>
        </w:rPr>
        <w:t>Μποδοσάκη</w:t>
      </w:r>
      <w:proofErr w:type="spellEnd"/>
      <w:r w:rsidRPr="00EB2A04">
        <w:rPr>
          <w:rFonts w:eastAsia="Times New Roman" w:cs="Times New Roman"/>
          <w:kern w:val="0"/>
          <w:sz w:val="20"/>
          <w:szCs w:val="20"/>
          <w:lang w:eastAsia="el-GR"/>
          <w14:ligatures w14:val="none"/>
        </w:rPr>
        <w:t xml:space="preserve"> Αθανασιάδη, στην ελληνική κοινωνία. Μέχρι σήμερα έχει διαθέσει περισσότερα από €480 εκ. για την υλοποίηση του κοινωφελούς έργου του, με δέσμευση στις αρχές της διαφάνειας, της αξιοπιστίας και της λογοδοσίας. Σήμερα, με όραμα μια κοινωνία ίσων ευκαιριών με δυνατότητες και προοπτική για όλους, το Ίδρυμα </w:t>
      </w:r>
      <w:proofErr w:type="spellStart"/>
      <w:r w:rsidRPr="00EB2A04">
        <w:rPr>
          <w:rFonts w:eastAsia="Times New Roman" w:cs="Times New Roman"/>
          <w:kern w:val="0"/>
          <w:sz w:val="20"/>
          <w:szCs w:val="20"/>
          <w:lang w:eastAsia="el-GR"/>
          <w14:ligatures w14:val="none"/>
        </w:rPr>
        <w:t>Μποδοσάκη</w:t>
      </w:r>
      <w:proofErr w:type="spellEnd"/>
      <w:r w:rsidRPr="00EB2A04">
        <w:rPr>
          <w:rFonts w:eastAsia="Times New Roman" w:cs="Times New Roman"/>
          <w:kern w:val="0"/>
          <w:sz w:val="20"/>
          <w:szCs w:val="20"/>
          <w:lang w:eastAsia="el-GR"/>
          <w14:ligatures w14:val="none"/>
        </w:rPr>
        <w:t xml:space="preserve"> αξιοποιεί τους ίδιους πόρους του και ενώνει τις δυνάμεις του με δωρητές και εταίρους, διαχειριζόμενο με υπευθυνότητα τα κεφάλαια που του εμπιστεύονται. Με στόχο την προαγωγή των ίσων ευκαιριών στην Ελλάδα, το Ίδρυμα σχεδιάζει, χρηματοδοτεί και υλοποιεί πρωτοβουλίες υψηλού κοινωνικού αντίκτυπου που υπηρετούν την προαγωγή της παιδείας για όλους, τις ίσες ευκαιρίες στην υγεία και την ευημερία, την προστασία του περιβάλλοντος και την ενδυνάμωση της Κοινωνίας των Πολιτών.</w:t>
      </w:r>
    </w:p>
    <w:p w14:paraId="3C9D80CB" w14:textId="77777777" w:rsidR="000A0D38" w:rsidRPr="00EB2A04" w:rsidRDefault="000A0D38" w:rsidP="008751AD">
      <w:pPr>
        <w:jc w:val="both"/>
        <w:rPr>
          <w:sz w:val="20"/>
          <w:szCs w:val="20"/>
        </w:rPr>
      </w:pPr>
    </w:p>
    <w:sectPr w:rsidR="000A0D38" w:rsidRPr="00EB2A04" w:rsidSect="001C50CC">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1971" w14:textId="77777777" w:rsidR="007A4FD7" w:rsidRDefault="007A4FD7" w:rsidP="001C50CC">
      <w:pPr>
        <w:spacing w:after="0" w:line="240" w:lineRule="auto"/>
      </w:pPr>
      <w:r>
        <w:separator/>
      </w:r>
    </w:p>
  </w:endnote>
  <w:endnote w:type="continuationSeparator" w:id="0">
    <w:p w14:paraId="73DFA1CE" w14:textId="77777777" w:rsidR="007A4FD7" w:rsidRDefault="007A4FD7" w:rsidP="001C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68F9" w14:textId="77777777" w:rsidR="007A4FD7" w:rsidRDefault="007A4FD7" w:rsidP="001C50CC">
      <w:pPr>
        <w:spacing w:after="0" w:line="240" w:lineRule="auto"/>
      </w:pPr>
      <w:r>
        <w:separator/>
      </w:r>
    </w:p>
  </w:footnote>
  <w:footnote w:type="continuationSeparator" w:id="0">
    <w:p w14:paraId="4F7D4698" w14:textId="77777777" w:rsidR="007A4FD7" w:rsidRDefault="007A4FD7" w:rsidP="001C5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E05C" w14:textId="31CF7A9B" w:rsidR="001C50CC" w:rsidRDefault="001C131F">
    <w:pPr>
      <w:pStyle w:val="Header"/>
    </w:pPr>
    <w:r>
      <w:rPr>
        <w:noProof/>
      </w:rPr>
      <w:drawing>
        <wp:anchor distT="0" distB="0" distL="114300" distR="114300" simplePos="0" relativeHeight="251658240" behindDoc="1" locked="0" layoutInCell="1" allowOverlap="1" wp14:anchorId="38CAC53F" wp14:editId="6FA34DE4">
          <wp:simplePos x="0" y="0"/>
          <wp:positionH relativeFrom="column">
            <wp:posOffset>4000500</wp:posOffset>
          </wp:positionH>
          <wp:positionV relativeFrom="paragraph">
            <wp:posOffset>-114300</wp:posOffset>
          </wp:positionV>
          <wp:extent cx="1607820" cy="1165225"/>
          <wp:effectExtent l="0" t="0" r="0" b="0"/>
          <wp:wrapThrough wrapText="bothSides">
            <wp:wrapPolygon edited="0">
              <wp:start x="0" y="0"/>
              <wp:lineTo x="0" y="21188"/>
              <wp:lineTo x="21242" y="21188"/>
              <wp:lineTo x="21242" y="0"/>
              <wp:lineTo x="0" y="0"/>
            </wp:wrapPolygon>
          </wp:wrapThrough>
          <wp:docPr id="1863397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97199" name="Picture 1863397199"/>
                  <pic:cNvPicPr/>
                </pic:nvPicPr>
                <pic:blipFill rotWithShape="1">
                  <a:blip r:embed="rId1">
                    <a:extLst>
                      <a:ext uri="{28A0092B-C50C-407E-A947-70E740481C1C}">
                        <a14:useLocalDpi xmlns:a14="http://schemas.microsoft.com/office/drawing/2010/main" val="0"/>
                      </a:ext>
                    </a:extLst>
                  </a:blip>
                  <a:srcRect l="32046" t="25475" r="31066" b="23573"/>
                  <a:stretch>
                    <a:fillRect/>
                  </a:stretch>
                </pic:blipFill>
                <pic:spPr bwMode="auto">
                  <a:xfrm>
                    <a:off x="0" y="0"/>
                    <a:ext cx="1607820" cy="1165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50CC">
      <w:rPr>
        <w:noProof/>
      </w:rPr>
      <w:drawing>
        <wp:inline distT="0" distB="0" distL="0" distR="0" wp14:anchorId="290B9353" wp14:editId="10BC306F">
          <wp:extent cx="2080629" cy="980946"/>
          <wp:effectExtent l="0" t="0" r="0" b="0"/>
          <wp:docPr id="486659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59552" name="Picture 486659552"/>
                  <pic:cNvPicPr/>
                </pic:nvPicPr>
                <pic:blipFill>
                  <a:blip r:embed="rId2">
                    <a:extLst>
                      <a:ext uri="{28A0092B-C50C-407E-A947-70E740481C1C}">
                        <a14:useLocalDpi xmlns:a14="http://schemas.microsoft.com/office/drawing/2010/main" val="0"/>
                      </a:ext>
                    </a:extLst>
                  </a:blip>
                  <a:stretch>
                    <a:fillRect/>
                  </a:stretch>
                </pic:blipFill>
                <pic:spPr>
                  <a:xfrm>
                    <a:off x="0" y="0"/>
                    <a:ext cx="2120844" cy="999906"/>
                  </a:xfrm>
                  <a:prstGeom prst="rect">
                    <a:avLst/>
                  </a:prstGeom>
                </pic:spPr>
              </pic:pic>
            </a:graphicData>
          </a:graphic>
        </wp:inline>
      </w:drawing>
    </w:r>
    <w:r w:rsidR="001C50CC">
      <w:rPr>
        <w:noProof/>
      </w:rPr>
      <w:drawing>
        <wp:inline distT="0" distB="0" distL="0" distR="0" wp14:anchorId="00BAA575" wp14:editId="618FD916">
          <wp:extent cx="1635760" cy="1022350"/>
          <wp:effectExtent l="0" t="0" r="2540" b="6350"/>
          <wp:docPr id="2049084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84597" name="Picture 2049084597"/>
                  <pic:cNvPicPr/>
                </pic:nvPicPr>
                <pic:blipFill>
                  <a:blip r:embed="rId3">
                    <a:extLst>
                      <a:ext uri="{28A0092B-C50C-407E-A947-70E740481C1C}">
                        <a14:useLocalDpi xmlns:a14="http://schemas.microsoft.com/office/drawing/2010/main" val="0"/>
                      </a:ext>
                    </a:extLst>
                  </a:blip>
                  <a:stretch>
                    <a:fillRect/>
                  </a:stretch>
                </pic:blipFill>
                <pic:spPr>
                  <a:xfrm>
                    <a:off x="0" y="0"/>
                    <a:ext cx="1635760" cy="1022350"/>
                  </a:xfrm>
                  <a:prstGeom prst="rect">
                    <a:avLst/>
                  </a:prstGeom>
                </pic:spPr>
              </pic:pic>
            </a:graphicData>
          </a:graphic>
        </wp:inline>
      </w:drawing>
    </w:r>
    <w:r w:rsidRPr="001C131F">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AD"/>
    <w:rsid w:val="000019C4"/>
    <w:rsid w:val="00015806"/>
    <w:rsid w:val="0001787A"/>
    <w:rsid w:val="00020C65"/>
    <w:rsid w:val="00042D2A"/>
    <w:rsid w:val="00043062"/>
    <w:rsid w:val="00060B4F"/>
    <w:rsid w:val="000803AD"/>
    <w:rsid w:val="000A0D38"/>
    <w:rsid w:val="000A1FA0"/>
    <w:rsid w:val="000B2C0C"/>
    <w:rsid w:val="000D42B4"/>
    <w:rsid w:val="000D65B5"/>
    <w:rsid w:val="00107307"/>
    <w:rsid w:val="001267F9"/>
    <w:rsid w:val="00154A9C"/>
    <w:rsid w:val="00167FBD"/>
    <w:rsid w:val="00171D79"/>
    <w:rsid w:val="00180038"/>
    <w:rsid w:val="001B0919"/>
    <w:rsid w:val="001C131F"/>
    <w:rsid w:val="001C50CC"/>
    <w:rsid w:val="001D5B00"/>
    <w:rsid w:val="0021320C"/>
    <w:rsid w:val="0026738B"/>
    <w:rsid w:val="002A2E24"/>
    <w:rsid w:val="002B12C5"/>
    <w:rsid w:val="002B4114"/>
    <w:rsid w:val="002E05DF"/>
    <w:rsid w:val="002F1B5C"/>
    <w:rsid w:val="00301BCE"/>
    <w:rsid w:val="0032260E"/>
    <w:rsid w:val="003435F4"/>
    <w:rsid w:val="0034765C"/>
    <w:rsid w:val="00355D13"/>
    <w:rsid w:val="00361AF2"/>
    <w:rsid w:val="00364A53"/>
    <w:rsid w:val="00366E0E"/>
    <w:rsid w:val="00386308"/>
    <w:rsid w:val="003970C8"/>
    <w:rsid w:val="003B134C"/>
    <w:rsid w:val="003B2DA1"/>
    <w:rsid w:val="004306D8"/>
    <w:rsid w:val="00435E6D"/>
    <w:rsid w:val="00484737"/>
    <w:rsid w:val="004B7C51"/>
    <w:rsid w:val="004C453F"/>
    <w:rsid w:val="004D4FDF"/>
    <w:rsid w:val="004E03A9"/>
    <w:rsid w:val="004F6691"/>
    <w:rsid w:val="005172F1"/>
    <w:rsid w:val="00525143"/>
    <w:rsid w:val="00536860"/>
    <w:rsid w:val="00545583"/>
    <w:rsid w:val="005526EA"/>
    <w:rsid w:val="00563AB4"/>
    <w:rsid w:val="00577BB1"/>
    <w:rsid w:val="005B10DB"/>
    <w:rsid w:val="005D755C"/>
    <w:rsid w:val="0065137B"/>
    <w:rsid w:val="006910B1"/>
    <w:rsid w:val="00697D83"/>
    <w:rsid w:val="006B4CBC"/>
    <w:rsid w:val="006D279D"/>
    <w:rsid w:val="00705F02"/>
    <w:rsid w:val="00732905"/>
    <w:rsid w:val="00734C1B"/>
    <w:rsid w:val="0074127F"/>
    <w:rsid w:val="00771C61"/>
    <w:rsid w:val="00791EF1"/>
    <w:rsid w:val="00792BAE"/>
    <w:rsid w:val="007A4FD7"/>
    <w:rsid w:val="007D2330"/>
    <w:rsid w:val="007E5761"/>
    <w:rsid w:val="00813FC6"/>
    <w:rsid w:val="008563AB"/>
    <w:rsid w:val="008656FF"/>
    <w:rsid w:val="008751AD"/>
    <w:rsid w:val="0089270C"/>
    <w:rsid w:val="00893F17"/>
    <w:rsid w:val="008A75CD"/>
    <w:rsid w:val="00911DBF"/>
    <w:rsid w:val="00954F3D"/>
    <w:rsid w:val="009648B8"/>
    <w:rsid w:val="00993645"/>
    <w:rsid w:val="00997E9B"/>
    <w:rsid w:val="009C4AFF"/>
    <w:rsid w:val="009E61A1"/>
    <w:rsid w:val="00A85A9D"/>
    <w:rsid w:val="00AA32E9"/>
    <w:rsid w:val="00AE46C0"/>
    <w:rsid w:val="00B37909"/>
    <w:rsid w:val="00B43D91"/>
    <w:rsid w:val="00B57560"/>
    <w:rsid w:val="00BB6418"/>
    <w:rsid w:val="00BD784F"/>
    <w:rsid w:val="00BE1A4C"/>
    <w:rsid w:val="00BF077B"/>
    <w:rsid w:val="00BF1671"/>
    <w:rsid w:val="00C0712D"/>
    <w:rsid w:val="00C27564"/>
    <w:rsid w:val="00C31E1B"/>
    <w:rsid w:val="00C75CA7"/>
    <w:rsid w:val="00CE04EA"/>
    <w:rsid w:val="00CF4275"/>
    <w:rsid w:val="00D40111"/>
    <w:rsid w:val="00D649F4"/>
    <w:rsid w:val="00D74A8F"/>
    <w:rsid w:val="00D84633"/>
    <w:rsid w:val="00D967A2"/>
    <w:rsid w:val="00DC3305"/>
    <w:rsid w:val="00DC5F1E"/>
    <w:rsid w:val="00DE413E"/>
    <w:rsid w:val="00E01C01"/>
    <w:rsid w:val="00E16D3E"/>
    <w:rsid w:val="00E2444F"/>
    <w:rsid w:val="00E52DEA"/>
    <w:rsid w:val="00E90CE9"/>
    <w:rsid w:val="00E9444E"/>
    <w:rsid w:val="00E953D9"/>
    <w:rsid w:val="00E9739A"/>
    <w:rsid w:val="00EA3EBC"/>
    <w:rsid w:val="00EB2A04"/>
    <w:rsid w:val="00EC279B"/>
    <w:rsid w:val="00EC797A"/>
    <w:rsid w:val="00EE7CDD"/>
    <w:rsid w:val="00EF4744"/>
    <w:rsid w:val="00EF59D4"/>
    <w:rsid w:val="00EF6938"/>
    <w:rsid w:val="00F67338"/>
    <w:rsid w:val="00F80DD1"/>
    <w:rsid w:val="00F8560C"/>
    <w:rsid w:val="00FA1FDC"/>
    <w:rsid w:val="00FB28EE"/>
    <w:rsid w:val="00FF386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68AF"/>
  <w15:chartTrackingRefBased/>
  <w15:docId w15:val="{14FCE118-E2C3-4864-90C2-D9CD40E7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1AD"/>
    <w:rPr>
      <w:rFonts w:eastAsiaTheme="majorEastAsia" w:cstheme="majorBidi"/>
      <w:color w:val="272727" w:themeColor="text1" w:themeTint="D8"/>
    </w:rPr>
  </w:style>
  <w:style w:type="paragraph" w:styleId="Title">
    <w:name w:val="Title"/>
    <w:basedOn w:val="Normal"/>
    <w:next w:val="Normal"/>
    <w:link w:val="TitleChar"/>
    <w:uiPriority w:val="10"/>
    <w:qFormat/>
    <w:rsid w:val="0087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1AD"/>
    <w:pPr>
      <w:spacing w:before="160"/>
      <w:jc w:val="center"/>
    </w:pPr>
    <w:rPr>
      <w:i/>
      <w:iCs/>
      <w:color w:val="404040" w:themeColor="text1" w:themeTint="BF"/>
    </w:rPr>
  </w:style>
  <w:style w:type="character" w:customStyle="1" w:styleId="QuoteChar">
    <w:name w:val="Quote Char"/>
    <w:basedOn w:val="DefaultParagraphFont"/>
    <w:link w:val="Quote"/>
    <w:uiPriority w:val="29"/>
    <w:rsid w:val="008751AD"/>
    <w:rPr>
      <w:i/>
      <w:iCs/>
      <w:color w:val="404040" w:themeColor="text1" w:themeTint="BF"/>
    </w:rPr>
  </w:style>
  <w:style w:type="paragraph" w:styleId="ListParagraph">
    <w:name w:val="List Paragraph"/>
    <w:basedOn w:val="Normal"/>
    <w:uiPriority w:val="34"/>
    <w:qFormat/>
    <w:rsid w:val="008751AD"/>
    <w:pPr>
      <w:ind w:left="720"/>
      <w:contextualSpacing/>
    </w:pPr>
  </w:style>
  <w:style w:type="character" w:styleId="IntenseEmphasis">
    <w:name w:val="Intense Emphasis"/>
    <w:basedOn w:val="DefaultParagraphFont"/>
    <w:uiPriority w:val="21"/>
    <w:qFormat/>
    <w:rsid w:val="008751AD"/>
    <w:rPr>
      <w:i/>
      <w:iCs/>
      <w:color w:val="0F4761" w:themeColor="accent1" w:themeShade="BF"/>
    </w:rPr>
  </w:style>
  <w:style w:type="paragraph" w:styleId="IntenseQuote">
    <w:name w:val="Intense Quote"/>
    <w:basedOn w:val="Normal"/>
    <w:next w:val="Normal"/>
    <w:link w:val="IntenseQuoteChar"/>
    <w:uiPriority w:val="30"/>
    <w:qFormat/>
    <w:rsid w:val="0087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1AD"/>
    <w:rPr>
      <w:i/>
      <w:iCs/>
      <w:color w:val="0F4761" w:themeColor="accent1" w:themeShade="BF"/>
    </w:rPr>
  </w:style>
  <w:style w:type="character" w:styleId="IntenseReference">
    <w:name w:val="Intense Reference"/>
    <w:basedOn w:val="DefaultParagraphFont"/>
    <w:uiPriority w:val="32"/>
    <w:qFormat/>
    <w:rsid w:val="008751AD"/>
    <w:rPr>
      <w:b/>
      <w:bCs/>
      <w:smallCaps/>
      <w:color w:val="0F4761" w:themeColor="accent1" w:themeShade="BF"/>
      <w:spacing w:val="5"/>
    </w:rPr>
  </w:style>
  <w:style w:type="paragraph" w:styleId="Revision">
    <w:name w:val="Revision"/>
    <w:hidden/>
    <w:uiPriority w:val="99"/>
    <w:semiHidden/>
    <w:rsid w:val="0089270C"/>
    <w:pPr>
      <w:spacing w:after="0" w:line="240" w:lineRule="auto"/>
    </w:pPr>
  </w:style>
  <w:style w:type="character" w:styleId="CommentReference">
    <w:name w:val="annotation reference"/>
    <w:basedOn w:val="DefaultParagraphFont"/>
    <w:uiPriority w:val="99"/>
    <w:semiHidden/>
    <w:unhideWhenUsed/>
    <w:rsid w:val="003970C8"/>
    <w:rPr>
      <w:sz w:val="16"/>
      <w:szCs w:val="16"/>
    </w:rPr>
  </w:style>
  <w:style w:type="paragraph" w:styleId="CommentText">
    <w:name w:val="annotation text"/>
    <w:basedOn w:val="Normal"/>
    <w:link w:val="CommentTextChar"/>
    <w:uiPriority w:val="99"/>
    <w:unhideWhenUsed/>
    <w:rsid w:val="003970C8"/>
    <w:pPr>
      <w:spacing w:line="240" w:lineRule="auto"/>
    </w:pPr>
    <w:rPr>
      <w:sz w:val="20"/>
      <w:szCs w:val="20"/>
    </w:rPr>
  </w:style>
  <w:style w:type="character" w:customStyle="1" w:styleId="CommentTextChar">
    <w:name w:val="Comment Text Char"/>
    <w:basedOn w:val="DefaultParagraphFont"/>
    <w:link w:val="CommentText"/>
    <w:uiPriority w:val="99"/>
    <w:rsid w:val="003970C8"/>
    <w:rPr>
      <w:sz w:val="20"/>
      <w:szCs w:val="20"/>
    </w:rPr>
  </w:style>
  <w:style w:type="paragraph" w:styleId="CommentSubject">
    <w:name w:val="annotation subject"/>
    <w:basedOn w:val="CommentText"/>
    <w:next w:val="CommentText"/>
    <w:link w:val="CommentSubjectChar"/>
    <w:uiPriority w:val="99"/>
    <w:semiHidden/>
    <w:unhideWhenUsed/>
    <w:rsid w:val="003970C8"/>
    <w:rPr>
      <w:b/>
      <w:bCs/>
    </w:rPr>
  </w:style>
  <w:style w:type="character" w:customStyle="1" w:styleId="CommentSubjectChar">
    <w:name w:val="Comment Subject Char"/>
    <w:basedOn w:val="CommentTextChar"/>
    <w:link w:val="CommentSubject"/>
    <w:uiPriority w:val="99"/>
    <w:semiHidden/>
    <w:rsid w:val="003970C8"/>
    <w:rPr>
      <w:b/>
      <w:bCs/>
      <w:sz w:val="20"/>
      <w:szCs w:val="20"/>
    </w:rPr>
  </w:style>
  <w:style w:type="paragraph" w:styleId="Header">
    <w:name w:val="header"/>
    <w:basedOn w:val="Normal"/>
    <w:link w:val="HeaderChar"/>
    <w:uiPriority w:val="99"/>
    <w:unhideWhenUsed/>
    <w:rsid w:val="001C5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0CC"/>
  </w:style>
  <w:style w:type="paragraph" w:styleId="Footer">
    <w:name w:val="footer"/>
    <w:basedOn w:val="Normal"/>
    <w:link w:val="FooterChar"/>
    <w:uiPriority w:val="99"/>
    <w:unhideWhenUsed/>
    <w:rsid w:val="001C5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0CC"/>
  </w:style>
  <w:style w:type="paragraph" w:customStyle="1" w:styleId="pf0">
    <w:name w:val="pf0"/>
    <w:basedOn w:val="Normal"/>
    <w:rsid w:val="00911DBF"/>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customStyle="1" w:styleId="cf01">
    <w:name w:val="cf01"/>
    <w:basedOn w:val="DefaultParagraphFont"/>
    <w:rsid w:val="00911DBF"/>
    <w:rPr>
      <w:rFonts w:ascii="Segoe UI" w:hAnsi="Segoe UI" w:cs="Segoe UI" w:hint="default"/>
      <w:sz w:val="18"/>
      <w:szCs w:val="18"/>
    </w:rPr>
  </w:style>
  <w:style w:type="character" w:styleId="Hyperlink">
    <w:name w:val="Hyperlink"/>
    <w:basedOn w:val="DefaultParagraphFont"/>
    <w:uiPriority w:val="99"/>
    <w:unhideWhenUsed/>
    <w:rsid w:val="000A0D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energyholding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3A%2F%2Fwww.elvalhalcor.com%2F&amp;data=05%7C02%7Ckantonopoulou%40steelmet.gr%7C7926eab981f14f4b345908dec16eec2a%7Cac16fc13eed045a8a4cd092120207ca4%7C0%7C0%7C639160879324689779%7CUnknown%7CTWFpbGZsb3d8eyJFbXB0eU1hcGkiOnRydWUsIlYiOiIwLjAuMDAwMCIsIlAiOiJXaW4zMiIsIkFOIjoiTWFpbCIsIldUIjoyfQ%3D%3D%7C0%7C%7C%7C&amp;sdata=J8gNKoNbF6f65pZoGWPv8LsbbLvfH4TvRH144RiBBiU%3D&amp;reserve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c16fc13-eed0-45a8-a4cd-092120207ca4}" enabled="0" method="" siteId="{ac16fc13-eed0-45a8-a4cd-092120207ca4}"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1038</Words>
  <Characters>6711</Characters>
  <Application>Microsoft Office Word</Application>
  <DocSecurity>4</DocSecurity>
  <Lines>124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Geralis, Apostolos (ATH-WSW)</dc:creator>
  <cp:keywords/>
  <dc:description/>
  <cp:lastModifiedBy>Papadogianni, Erietta (Παπαδογιάννη Εριέττα)</cp:lastModifiedBy>
  <cp:revision>2</cp:revision>
  <dcterms:created xsi:type="dcterms:W3CDTF">2026-06-10T15:18:00Z</dcterms:created>
  <dcterms:modified xsi:type="dcterms:W3CDTF">2026-06-10T15:18:00Z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83594e7f-554d-4ad1-bbec-359dccbc485b</vt:lpwstr>
  </property>
</Properties>
</file>